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EB24E">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新宋体" w:hAnsi="新宋体" w:eastAsia="方正小标宋简体" w:cs="方正小标宋简体"/>
          <w:sz w:val="44"/>
          <w:szCs w:val="44"/>
          <w:lang w:val="en-US" w:eastAsia="zh-CN"/>
        </w:rPr>
      </w:pPr>
      <w:r>
        <w:rPr>
          <w:rFonts w:hint="eastAsia" w:ascii="新宋体" w:hAnsi="新宋体" w:eastAsia="方正小标宋简体" w:cs="方正小标宋简体"/>
          <w:sz w:val="44"/>
          <w:szCs w:val="44"/>
          <w:lang w:val="en-US" w:eastAsia="zh-CN"/>
        </w:rPr>
        <w:t>关于对《源政办〔2023〕5号》规范性文件实施后评估报告</w:t>
      </w:r>
    </w:p>
    <w:p w14:paraId="47D4271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sz w:val="32"/>
          <w:szCs w:val="32"/>
          <w:lang w:val="en-US" w:eastAsia="zh-CN"/>
        </w:rPr>
      </w:pPr>
    </w:p>
    <w:p w14:paraId="5E1DC2C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根据《漯河市行政规范性文件制定技术规范》相关工作要求，本单位对《源政办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5号》文件的实施情况开展了全面评估，现将评估情况报告如下：</w:t>
      </w:r>
    </w:p>
    <w:p w14:paraId="278D221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200" w:firstLine="320" w:firstLineChars="100"/>
        <w:jc w:val="both"/>
        <w:textAlignment w:val="auto"/>
        <w:rPr>
          <w:rFonts w:hint="eastAsia" w:ascii="新宋体" w:hAnsi="新宋体" w:eastAsia="楷体_GB2312" w:cs="楷体_GB2312"/>
          <w:sz w:val="32"/>
          <w:szCs w:val="32"/>
          <w:lang w:val="en-US" w:eastAsia="zh-CN"/>
        </w:rPr>
      </w:pPr>
      <w:r>
        <w:rPr>
          <w:rFonts w:hint="eastAsia" w:ascii="新宋体" w:hAnsi="新宋体" w:eastAsia="黑体" w:cs="黑体"/>
          <w:sz w:val="32"/>
          <w:szCs w:val="32"/>
          <w:lang w:val="en-US" w:eastAsia="zh-CN"/>
        </w:rPr>
        <w:t>一、评估组织情况</w:t>
      </w:r>
    </w:p>
    <w:p w14:paraId="5656F19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本次规范性文件实施后评估是针对《源政办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文件实施后，针对文件的制定质量、实施绩效、存在问题等进行客观公正的调查、分析和评价。成立了评估工作组，成员包括委领导和相关业务科室。通过相关责任单位上报工作推进情况的方式，对《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5号》进行分析，提出评估意见，形成评估报告。</w:t>
      </w:r>
    </w:p>
    <w:p w14:paraId="7D26E88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200" w:firstLine="320" w:firstLineChars="100"/>
        <w:jc w:val="both"/>
        <w:textAlignment w:val="auto"/>
        <w:rPr>
          <w:rFonts w:hint="eastAsia" w:ascii="新宋体" w:hAnsi="新宋体" w:eastAsia="黑体" w:cs="黑体"/>
          <w:sz w:val="32"/>
          <w:szCs w:val="32"/>
          <w:lang w:val="en-US" w:eastAsia="zh-CN"/>
        </w:rPr>
      </w:pPr>
      <w:r>
        <w:rPr>
          <w:rFonts w:hint="eastAsia" w:ascii="新宋体" w:hAnsi="新宋体" w:eastAsia="黑体" w:cs="黑体"/>
          <w:sz w:val="32"/>
          <w:szCs w:val="32"/>
          <w:lang w:val="en-US" w:eastAsia="zh-CN"/>
        </w:rPr>
        <w:t>二、评估内容分析及依据</w:t>
      </w:r>
    </w:p>
    <w:p w14:paraId="018B205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楷体_GB2312" w:cs="楷体_GB2312"/>
          <w:sz w:val="32"/>
          <w:szCs w:val="32"/>
          <w:lang w:val="en-US" w:eastAsia="zh-CN"/>
        </w:rPr>
      </w:pPr>
      <w:r>
        <w:rPr>
          <w:rFonts w:hint="eastAsia" w:ascii="新宋体" w:hAnsi="新宋体" w:eastAsia="楷体_GB2312" w:cs="楷体_GB2312"/>
          <w:sz w:val="32"/>
          <w:szCs w:val="32"/>
          <w:lang w:val="en-US" w:eastAsia="zh-CN"/>
        </w:rPr>
        <w:t>（一）合法性方面。</w:t>
      </w:r>
    </w:p>
    <w:p w14:paraId="036B902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1.《源政办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5号》制发</w:t>
      </w:r>
      <w:r>
        <w:rPr>
          <w:rFonts w:hint="eastAsia" w:ascii="仿宋" w:hAnsi="仿宋" w:eastAsia="仿宋" w:cs="仿宋"/>
          <w:sz w:val="32"/>
          <w:szCs w:val="32"/>
          <w:lang w:val="en-US" w:eastAsia="zh-CN"/>
        </w:rPr>
        <w:t>/</w:t>
      </w:r>
      <w:r>
        <w:rPr>
          <w:rFonts w:hint="eastAsia" w:ascii="新宋体" w:hAnsi="新宋体" w:eastAsia="仿宋_GB2312" w:cs="仿宋_GB2312"/>
          <w:sz w:val="32"/>
          <w:szCs w:val="32"/>
          <w:lang w:val="en-US" w:eastAsia="zh-CN"/>
        </w:rPr>
        <w:t>决策依据为《漯河市源汇区国民经济和社会发展第十四个五年规划和二0三五年远景目标纲要》、</w:t>
      </w:r>
      <w:r>
        <w:rPr>
          <w:rFonts w:hint="eastAsia" w:ascii="仿宋" w:hAnsi="仿宋" w:eastAsia="仿宋" w:cs="仿宋"/>
          <w:sz w:val="32"/>
          <w:szCs w:val="32"/>
          <w:lang w:val="en-US" w:eastAsia="zh-CN"/>
        </w:rPr>
        <w:t>《河南省人民政府关于印发大力提振市场信心促进经济稳定向好政策措施的通知》（豫政</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41号）、《漯河市人民政府关于促进经济稳定向好政策措施的通知》（漯政</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1号）</w:t>
      </w:r>
      <w:r>
        <w:rPr>
          <w:rFonts w:hint="eastAsia" w:ascii="新宋体" w:hAnsi="新宋体" w:eastAsia="仿宋_GB2312" w:cs="仿宋_GB2312"/>
          <w:sz w:val="32"/>
          <w:szCs w:val="32"/>
          <w:lang w:val="en-US" w:eastAsia="zh-CN"/>
        </w:rPr>
        <w:t>，经核查，文件制发时的法律依据有效，文件法律依据目前仍有效。</w:t>
      </w:r>
    </w:p>
    <w:p w14:paraId="69F186B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2.经核查，未发现该文件有超越制定机关法定职权或者法律、法规、规章授权范围的情况；未发现该文件有与法律、法规、规章相抵触的情况；未发现该文件内容违反</w:t>
      </w:r>
      <w:r>
        <w:rPr>
          <w:rFonts w:hint="eastAsia" w:ascii="新宋体" w:hAnsi="新宋体" w:eastAsia="仿宋_GB2312" w:cs="仿宋_GB2312"/>
          <w:sz w:val="32"/>
          <w:szCs w:val="32"/>
          <w:lang w:eastAsia="zh-CN"/>
        </w:rPr>
        <w:t>《河南省行政规范性文件管理办法》</w:t>
      </w:r>
      <w:r>
        <w:rPr>
          <w:rFonts w:hint="eastAsia" w:ascii="新宋体" w:hAnsi="新宋体" w:eastAsia="仿宋_GB2312" w:cs="仿宋_GB2312"/>
          <w:sz w:val="32"/>
          <w:szCs w:val="32"/>
          <w:lang w:val="en-US" w:eastAsia="zh-CN"/>
        </w:rPr>
        <w:t>第十条的禁止性规定；未发现该文件内容与其他相关规范性文件存在冲突，符合合法性方面的相关要求。</w:t>
      </w:r>
    </w:p>
    <w:p w14:paraId="243C05C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200"/>
        <w:jc w:val="both"/>
        <w:textAlignment w:val="auto"/>
        <w:rPr>
          <w:rFonts w:hint="eastAsia" w:ascii="新宋体" w:hAnsi="新宋体" w:eastAsia="楷体_GB2312" w:cs="楷体_GB2312"/>
          <w:sz w:val="32"/>
          <w:szCs w:val="32"/>
          <w:lang w:val="en-US" w:eastAsia="zh-CN"/>
        </w:rPr>
      </w:pPr>
      <w:r>
        <w:rPr>
          <w:rFonts w:hint="eastAsia" w:ascii="新宋体" w:hAnsi="新宋体" w:eastAsia="楷体_GB2312" w:cs="楷体_GB2312"/>
          <w:sz w:val="32"/>
          <w:szCs w:val="32"/>
          <w:lang w:val="en-US" w:eastAsia="zh-CN"/>
        </w:rPr>
        <w:t>（二）合理性方面。</w:t>
      </w:r>
    </w:p>
    <w:p w14:paraId="265930D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1.《源政办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5号》符合公平竞争要求，不存在干预或影响市场主体正常经营活动的措施、违法设置市场准入和退出条件等内容，不存在妨碍生产要素自由流动、设置有悖统一市场的行政分割和保护等现象。</w:t>
      </w:r>
    </w:p>
    <w:p w14:paraId="51BD517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2.《源政办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5号》调整对象目前不存在，文件所调整的法律关系未发生重大变化。</w:t>
      </w:r>
    </w:p>
    <w:p w14:paraId="33828EB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200"/>
        <w:jc w:val="both"/>
        <w:textAlignment w:val="auto"/>
        <w:rPr>
          <w:rFonts w:hint="default" w:ascii="新宋体" w:hAnsi="新宋体" w:eastAsia="楷体_GB2312" w:cs="楷体_GB2312"/>
          <w:sz w:val="32"/>
          <w:szCs w:val="32"/>
          <w:lang w:val="en-US" w:eastAsia="zh-CN"/>
        </w:rPr>
      </w:pPr>
      <w:r>
        <w:rPr>
          <w:rFonts w:hint="eastAsia" w:ascii="新宋体" w:hAnsi="新宋体" w:eastAsia="楷体_GB2312" w:cs="楷体_GB2312"/>
          <w:sz w:val="32"/>
          <w:szCs w:val="32"/>
          <w:lang w:val="en-US" w:eastAsia="zh-CN"/>
        </w:rPr>
        <w:t>（三）一致性、操作性方面。</w:t>
      </w:r>
    </w:p>
    <w:p w14:paraId="335676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420"/>
        <w:jc w:val="left"/>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1.《源政办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5号》文件目前为我区关于扩投资、促经济发展工作的文件，未被新制定的行政规范性文件代替。</w:t>
      </w:r>
    </w:p>
    <w:p w14:paraId="330CE3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420"/>
        <w:jc w:val="left"/>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2.《源政办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不存在制度之间冲突、脱节等问题。在涉及多个部门共同监管、规范的领域起草规范性文件时，相关职能部门、各街镇协调配合，规范有序推进落实工作，不存在行政规范性文件之间的重复、交叉、不协调。</w:t>
      </w:r>
    </w:p>
    <w:p w14:paraId="770CA60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lang w:val="en-US" w:eastAsia="zh-CN"/>
        </w:rPr>
        <w:t>3.《源政办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5号》具有良好的可操作性，相关扶持政策、改革措施等，均有文件作为依据或配套文件予以阐明，不存在设置隐形门槛、无法执行等情形。</w:t>
      </w:r>
    </w:p>
    <w:p w14:paraId="3B3A909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default" w:ascii="新宋体" w:hAnsi="新宋体" w:eastAsia="楷体_GB2312" w:cs="楷体_GB2312"/>
          <w:sz w:val="32"/>
          <w:szCs w:val="32"/>
          <w:lang w:val="en-US" w:eastAsia="zh-CN"/>
        </w:rPr>
      </w:pPr>
      <w:r>
        <w:rPr>
          <w:rFonts w:hint="eastAsia" w:ascii="新宋体" w:hAnsi="新宋体" w:eastAsia="楷体_GB2312" w:cs="楷体_GB2312"/>
          <w:sz w:val="32"/>
          <w:szCs w:val="32"/>
          <w:lang w:val="en-US" w:eastAsia="zh-CN"/>
        </w:rPr>
        <w:t>（四）实效性方面。</w:t>
      </w:r>
    </w:p>
    <w:p w14:paraId="27EA2C3A">
      <w:pPr>
        <w:keepNext w:val="0"/>
        <w:keepLines w:val="0"/>
        <w:pageBreakBefore w:val="0"/>
        <w:widowControl w:val="0"/>
        <w:kinsoku/>
        <w:wordWrap/>
        <w:overflowPunct w:val="0"/>
        <w:topLinePunct w:val="0"/>
        <w:autoSpaceDE/>
        <w:autoSpaceDN/>
        <w:bidi w:val="0"/>
        <w:snapToGrid/>
        <w:spacing w:line="600" w:lineRule="exact"/>
        <w:ind w:firstLine="640" w:firstLineChars="200"/>
        <w:jc w:val="both"/>
        <w:textAlignment w:val="auto"/>
        <w:rPr>
          <w:rFonts w:ascii="新宋体" w:hAnsi="新宋体" w:eastAsia="仿宋_GB2312"/>
          <w:strike w:val="0"/>
          <w:dstrike w:val="0"/>
          <w:color w:val="000000"/>
          <w:sz w:val="32"/>
          <w:szCs w:val="32"/>
          <w:highlight w:val="none"/>
          <w:u w:val="none" w:color="auto"/>
        </w:rPr>
      </w:pPr>
      <w:r>
        <w:rPr>
          <w:rFonts w:hint="eastAsia" w:ascii="新宋体" w:hAnsi="新宋体" w:eastAsia="仿宋_GB2312" w:cs="仿宋_GB2312"/>
          <w:sz w:val="32"/>
          <w:szCs w:val="32"/>
          <w:lang w:val="en-US" w:eastAsia="zh-CN"/>
        </w:rPr>
        <w:t>结合日常工作、线上线下调研所得信息来看，《源政办</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新宋体" w:hAnsi="新宋体" w:eastAsia="仿宋_GB2312" w:cs="仿宋_GB2312"/>
          <w:sz w:val="32"/>
          <w:szCs w:val="32"/>
          <w:lang w:val="en-US" w:eastAsia="zh-CN"/>
        </w:rPr>
        <w:t>5号》得到了较为有效的执行，产生了良好的实施效果。</w:t>
      </w:r>
      <w:r>
        <w:rPr>
          <w:rFonts w:hint="eastAsia" w:ascii="新宋体" w:hAnsi="新宋体" w:eastAsia="仿宋_GB2312" w:cs="仿宋_GB2312"/>
          <w:b/>
          <w:bCs/>
          <w:sz w:val="32"/>
          <w:szCs w:val="32"/>
          <w:lang w:val="en-US" w:eastAsia="zh-CN"/>
        </w:rPr>
        <w:t>一是</w:t>
      </w:r>
      <w:r>
        <w:rPr>
          <w:rFonts w:ascii="新宋体" w:hAnsi="新宋体" w:eastAsia="仿宋_GB2312"/>
          <w:b/>
          <w:bCs/>
          <w:strike w:val="0"/>
          <w:dstrike w:val="0"/>
          <w:color w:val="000000"/>
          <w:sz w:val="32"/>
          <w:szCs w:val="32"/>
          <w:highlight w:val="none"/>
          <w:u w:val="none" w:color="auto"/>
        </w:rPr>
        <w:t>主要经济指标</w:t>
      </w:r>
      <w:r>
        <w:rPr>
          <w:rFonts w:hint="eastAsia" w:ascii="新宋体" w:hAnsi="新宋体" w:eastAsia="仿宋_GB2312"/>
          <w:b/>
          <w:bCs/>
          <w:strike w:val="0"/>
          <w:dstrike w:val="0"/>
          <w:color w:val="000000"/>
          <w:sz w:val="32"/>
          <w:szCs w:val="32"/>
          <w:highlight w:val="none"/>
          <w:u w:val="none" w:color="auto"/>
          <w:lang w:val="en-US" w:eastAsia="zh-CN"/>
        </w:rPr>
        <w:t>稳中有升</w:t>
      </w:r>
      <w:r>
        <w:rPr>
          <w:rFonts w:ascii="新宋体" w:hAnsi="新宋体" w:eastAsia="仿宋_GB2312"/>
          <w:b/>
          <w:bCs/>
          <w:strike w:val="0"/>
          <w:dstrike w:val="0"/>
          <w:color w:val="000000"/>
          <w:sz w:val="32"/>
          <w:szCs w:val="32"/>
          <w:highlight w:val="none"/>
          <w:u w:val="none" w:color="auto"/>
        </w:rPr>
        <w:t>。</w:t>
      </w:r>
      <w:r>
        <w:rPr>
          <w:rFonts w:hint="eastAsia" w:eastAsia="仿宋_GB2312" w:cs="Times New Roman"/>
          <w:b w:val="0"/>
          <w:bCs w:val="0"/>
          <w:strike w:val="0"/>
          <w:dstrike w:val="0"/>
          <w:color w:val="auto"/>
          <w:spacing w:val="7"/>
          <w:kern w:val="2"/>
          <w:sz w:val="32"/>
          <w:szCs w:val="32"/>
          <w:highlight w:val="none"/>
          <w:u w:val="none" w:color="auto"/>
          <w:lang w:val="en-US" w:eastAsia="zh-CN" w:bidi="ar-SA"/>
        </w:rPr>
        <w:t>强化经济运行监测调度，深入挖掘增长点，经济发展保持在合理区间</w:t>
      </w:r>
      <w:r>
        <w:rPr>
          <w:rFonts w:hint="eastAsia" w:ascii="Times New Roman" w:hAnsi="Times New Roman" w:eastAsia="仿宋_GB2312" w:cs="Times New Roman"/>
          <w:b w:val="0"/>
          <w:bCs w:val="0"/>
          <w:strike w:val="0"/>
          <w:dstrike w:val="0"/>
          <w:color w:val="auto"/>
          <w:spacing w:val="7"/>
          <w:kern w:val="2"/>
          <w:sz w:val="32"/>
          <w:szCs w:val="32"/>
          <w:highlight w:val="none"/>
          <w:u w:val="none" w:color="auto"/>
          <w:lang w:val="en-US" w:eastAsia="zh-CN" w:bidi="ar-SA"/>
        </w:rPr>
        <w:t>。</w:t>
      </w:r>
      <w:r>
        <w:rPr>
          <w:rStyle w:val="7"/>
          <w:rFonts w:hint="default" w:ascii="Times New Roman" w:hAnsi="Times New Roman" w:eastAsia="仿宋_GB2312" w:cs="Times New Roman"/>
          <w:b w:val="0"/>
          <w:i w:val="0"/>
          <w:caps w:val="0"/>
          <w:color w:val="auto"/>
          <w:spacing w:val="7"/>
          <w:w w:val="100"/>
          <w:sz w:val="32"/>
          <w:szCs w:val="32"/>
          <w:lang w:val="en-US" w:eastAsia="zh-CN"/>
        </w:rPr>
        <w:t>上半年，全区实现生产总值113.8亿元，同比</w:t>
      </w:r>
      <w:r>
        <w:rPr>
          <w:rStyle w:val="7"/>
          <w:rFonts w:hint="eastAsia" w:eastAsia="仿宋_GB2312" w:cs="Times New Roman"/>
          <w:b w:val="0"/>
          <w:i w:val="0"/>
          <w:caps w:val="0"/>
          <w:color w:val="auto"/>
          <w:spacing w:val="7"/>
          <w:w w:val="100"/>
          <w:sz w:val="32"/>
          <w:szCs w:val="32"/>
          <w:lang w:val="en-US" w:eastAsia="zh-CN"/>
        </w:rPr>
        <w:t>（下同）</w:t>
      </w:r>
      <w:r>
        <w:rPr>
          <w:rStyle w:val="7"/>
          <w:rFonts w:hint="default" w:ascii="Times New Roman" w:hAnsi="Times New Roman" w:eastAsia="仿宋_GB2312" w:cs="Times New Roman"/>
          <w:b w:val="0"/>
          <w:i w:val="0"/>
          <w:caps w:val="0"/>
          <w:color w:val="auto"/>
          <w:spacing w:val="7"/>
          <w:w w:val="100"/>
          <w:sz w:val="32"/>
          <w:szCs w:val="32"/>
          <w:lang w:val="en-US" w:eastAsia="zh-CN"/>
        </w:rPr>
        <w:t>增长7.1%</w:t>
      </w:r>
      <w:r>
        <w:rPr>
          <w:rStyle w:val="7"/>
          <w:rFonts w:hint="eastAsia" w:eastAsia="仿宋_GB2312" w:cs="Times New Roman"/>
          <w:b w:val="0"/>
          <w:i w:val="0"/>
          <w:caps w:val="0"/>
          <w:color w:val="auto"/>
          <w:spacing w:val="7"/>
          <w:w w:val="100"/>
          <w:sz w:val="32"/>
          <w:szCs w:val="32"/>
          <w:lang w:val="en-US" w:eastAsia="zh-CN"/>
        </w:rPr>
        <w:t>。</w:t>
      </w:r>
      <w:r>
        <w:rPr>
          <w:rStyle w:val="7"/>
          <w:rFonts w:hint="default" w:ascii="Times New Roman" w:hAnsi="Times New Roman" w:eastAsia="仿宋_GB2312" w:cs="Times New Roman"/>
          <w:b w:val="0"/>
          <w:i w:val="0"/>
          <w:caps w:val="0"/>
          <w:color w:val="auto"/>
          <w:spacing w:val="7"/>
          <w:w w:val="100"/>
          <w:sz w:val="32"/>
          <w:szCs w:val="32"/>
          <w:lang w:val="en-US" w:eastAsia="zh-CN"/>
        </w:rPr>
        <w:t>其中</w:t>
      </w:r>
      <w:r>
        <w:rPr>
          <w:rStyle w:val="7"/>
          <w:rFonts w:hint="eastAsia" w:eastAsia="仿宋_GB2312" w:cs="Times New Roman"/>
          <w:b w:val="0"/>
          <w:i w:val="0"/>
          <w:caps w:val="0"/>
          <w:color w:val="auto"/>
          <w:spacing w:val="7"/>
          <w:w w:val="100"/>
          <w:sz w:val="32"/>
          <w:szCs w:val="32"/>
          <w:lang w:val="en-US" w:eastAsia="zh-CN"/>
        </w:rPr>
        <w:t>，</w:t>
      </w:r>
      <w:r>
        <w:rPr>
          <w:rStyle w:val="7"/>
          <w:rFonts w:hint="default" w:ascii="Times New Roman" w:hAnsi="Times New Roman" w:eastAsia="仿宋_GB2312" w:cs="Times New Roman"/>
          <w:b w:val="0"/>
          <w:i w:val="0"/>
          <w:caps w:val="0"/>
          <w:color w:val="auto"/>
          <w:spacing w:val="7"/>
          <w:w w:val="100"/>
          <w:sz w:val="32"/>
          <w:szCs w:val="32"/>
          <w:lang w:val="en-US" w:eastAsia="zh-CN"/>
        </w:rPr>
        <w:t>第一产业增加值增长4.1%</w:t>
      </w:r>
      <w:r>
        <w:rPr>
          <w:rStyle w:val="7"/>
          <w:rFonts w:hint="eastAsia" w:eastAsia="仿宋_GB2312" w:cs="Times New Roman"/>
          <w:b w:val="0"/>
          <w:i w:val="0"/>
          <w:caps w:val="0"/>
          <w:color w:val="auto"/>
          <w:spacing w:val="7"/>
          <w:w w:val="100"/>
          <w:sz w:val="32"/>
          <w:szCs w:val="32"/>
          <w:lang w:val="en-US" w:eastAsia="zh-CN"/>
        </w:rPr>
        <w:t>、</w:t>
      </w:r>
      <w:r>
        <w:rPr>
          <w:rStyle w:val="7"/>
          <w:rFonts w:hint="default" w:ascii="Times New Roman" w:hAnsi="Times New Roman" w:eastAsia="仿宋_GB2312" w:cs="Times New Roman"/>
          <w:b w:val="0"/>
          <w:i w:val="0"/>
          <w:caps w:val="0"/>
          <w:color w:val="auto"/>
          <w:spacing w:val="7"/>
          <w:w w:val="100"/>
          <w:sz w:val="32"/>
          <w:szCs w:val="32"/>
          <w:lang w:val="en-US" w:eastAsia="zh-CN"/>
        </w:rPr>
        <w:t>第二产业增加值增长11.3%</w:t>
      </w:r>
      <w:r>
        <w:rPr>
          <w:rStyle w:val="7"/>
          <w:rFonts w:hint="eastAsia" w:eastAsia="仿宋_GB2312" w:cs="Times New Roman"/>
          <w:b w:val="0"/>
          <w:i w:val="0"/>
          <w:caps w:val="0"/>
          <w:color w:val="auto"/>
          <w:spacing w:val="7"/>
          <w:w w:val="100"/>
          <w:sz w:val="32"/>
          <w:szCs w:val="32"/>
          <w:lang w:val="en-US" w:eastAsia="zh-CN"/>
        </w:rPr>
        <w:t>、</w:t>
      </w:r>
      <w:r>
        <w:rPr>
          <w:rStyle w:val="7"/>
          <w:rFonts w:hint="default" w:ascii="Times New Roman" w:hAnsi="Times New Roman" w:eastAsia="仿宋_GB2312" w:cs="Times New Roman"/>
          <w:b w:val="0"/>
          <w:i w:val="0"/>
          <w:caps w:val="0"/>
          <w:color w:val="auto"/>
          <w:spacing w:val="7"/>
          <w:w w:val="100"/>
          <w:sz w:val="32"/>
          <w:szCs w:val="32"/>
          <w:lang w:val="en-US" w:eastAsia="zh-CN"/>
        </w:rPr>
        <w:t>第三产业增加值增长5.0%</w:t>
      </w:r>
      <w:r>
        <w:rPr>
          <w:rStyle w:val="7"/>
          <w:rFonts w:hint="eastAsia" w:ascii="Times New Roman" w:hAnsi="Times New Roman" w:eastAsia="仿宋_GB2312" w:cs="Times New Roman"/>
          <w:b w:val="0"/>
          <w:i w:val="0"/>
          <w:caps w:val="0"/>
          <w:color w:val="auto"/>
          <w:spacing w:val="7"/>
          <w:w w:val="100"/>
          <w:sz w:val="32"/>
          <w:szCs w:val="32"/>
          <w:lang w:val="en-US" w:eastAsia="zh-CN"/>
        </w:rPr>
        <w:t>，其中</w:t>
      </w:r>
      <w:r>
        <w:rPr>
          <w:rStyle w:val="7"/>
          <w:rFonts w:hint="default" w:ascii="Times New Roman" w:hAnsi="Times New Roman" w:eastAsia="仿宋_GB2312" w:cs="Times New Roman"/>
          <w:b w:val="0"/>
          <w:i w:val="0"/>
          <w:caps w:val="0"/>
          <w:color w:val="auto"/>
          <w:spacing w:val="7"/>
          <w:w w:val="100"/>
          <w:sz w:val="32"/>
          <w:szCs w:val="32"/>
          <w:lang w:val="en-US" w:eastAsia="zh-CN"/>
        </w:rPr>
        <w:t>社会消费品零售总额完成127.2亿元，增长6.4%</w:t>
      </w:r>
      <w:r>
        <w:rPr>
          <w:rStyle w:val="7"/>
          <w:rFonts w:hint="eastAsia" w:eastAsia="仿宋_GB2312" w:cs="Times New Roman"/>
          <w:b w:val="0"/>
          <w:i w:val="0"/>
          <w:caps w:val="0"/>
          <w:color w:val="auto"/>
          <w:spacing w:val="7"/>
          <w:w w:val="100"/>
          <w:sz w:val="32"/>
          <w:szCs w:val="32"/>
          <w:lang w:val="en-US" w:eastAsia="zh-CN"/>
        </w:rPr>
        <w:t>，全市第1</w:t>
      </w:r>
      <w:r>
        <w:rPr>
          <w:rFonts w:hint="eastAsia" w:ascii="新宋体" w:hAnsi="新宋体" w:eastAsia="楷体_GB2312" w:cs="楷体_GB2312"/>
          <w:sz w:val="32"/>
          <w:szCs w:val="32"/>
          <w:lang w:val="en-US" w:eastAsia="zh-CN"/>
        </w:rPr>
        <w:t>。</w:t>
      </w:r>
      <w:r>
        <w:rPr>
          <w:rStyle w:val="7"/>
          <w:rFonts w:hint="default" w:ascii="Times New Roman" w:hAnsi="Times New Roman" w:eastAsia="仿宋_GB2312" w:cs="Times New Roman"/>
          <w:b w:val="0"/>
          <w:bCs w:val="0"/>
          <w:i w:val="0"/>
          <w:caps w:val="0"/>
          <w:color w:val="auto"/>
          <w:spacing w:val="7"/>
          <w:w w:val="100"/>
          <w:sz w:val="32"/>
          <w:szCs w:val="32"/>
          <w:highlight w:val="none"/>
          <w:lang w:val="en-US" w:eastAsia="zh-CN"/>
        </w:rPr>
        <w:t>全区市场主体保有量130578户，新</w:t>
      </w:r>
      <w:r>
        <w:rPr>
          <w:rStyle w:val="7"/>
          <w:rFonts w:hint="eastAsia" w:eastAsia="仿宋_GB2312" w:cs="Times New Roman"/>
          <w:b w:val="0"/>
          <w:bCs w:val="0"/>
          <w:i w:val="0"/>
          <w:caps w:val="0"/>
          <w:color w:val="auto"/>
          <w:spacing w:val="7"/>
          <w:w w:val="100"/>
          <w:sz w:val="32"/>
          <w:szCs w:val="32"/>
          <w:highlight w:val="none"/>
          <w:lang w:val="en-US" w:eastAsia="zh-CN"/>
        </w:rPr>
        <w:t>设</w:t>
      </w:r>
      <w:r>
        <w:rPr>
          <w:rStyle w:val="7"/>
          <w:rFonts w:hint="default" w:ascii="Times New Roman" w:hAnsi="Times New Roman" w:eastAsia="仿宋_GB2312" w:cs="Times New Roman"/>
          <w:b w:val="0"/>
          <w:bCs w:val="0"/>
          <w:i w:val="0"/>
          <w:caps w:val="0"/>
          <w:color w:val="auto"/>
          <w:spacing w:val="7"/>
          <w:w w:val="100"/>
          <w:sz w:val="32"/>
          <w:szCs w:val="32"/>
          <w:highlight w:val="none"/>
          <w:lang w:val="en-US" w:eastAsia="zh-CN"/>
        </w:rPr>
        <w:t>市场主体9249户，同比增长68.8%</w:t>
      </w:r>
      <w:r>
        <w:rPr>
          <w:rStyle w:val="7"/>
          <w:rFonts w:hint="eastAsia" w:ascii="Times New Roman" w:hAnsi="Times New Roman" w:eastAsia="仿宋_GB2312" w:cs="Times New Roman"/>
          <w:b w:val="0"/>
          <w:bCs w:val="0"/>
          <w:i w:val="0"/>
          <w:caps w:val="0"/>
          <w:color w:val="auto"/>
          <w:spacing w:val="7"/>
          <w:w w:val="100"/>
          <w:sz w:val="32"/>
          <w:szCs w:val="32"/>
          <w:highlight w:val="none"/>
          <w:lang w:val="en-US" w:eastAsia="zh-CN"/>
        </w:rPr>
        <w:t>。</w:t>
      </w:r>
      <w:r>
        <w:rPr>
          <w:rFonts w:hint="eastAsia" w:ascii="新宋体" w:hAnsi="新宋体" w:eastAsia="仿宋_GB2312" w:cs="仿宋_GB2312"/>
          <w:b/>
          <w:bCs/>
          <w:sz w:val="32"/>
          <w:szCs w:val="32"/>
          <w:lang w:val="en-US" w:eastAsia="zh-CN"/>
        </w:rPr>
        <w:t>二是重大项目加快推进。</w:t>
      </w:r>
      <w:r>
        <w:rPr>
          <w:rFonts w:hint="default" w:ascii="Times New Roman" w:hAnsi="Times New Roman" w:eastAsia="仿宋_GB2312" w:cs="Times New Roman"/>
          <w:strike w:val="0"/>
          <w:dstrike w:val="0"/>
          <w:color w:val="auto"/>
          <w:spacing w:val="7"/>
          <w:sz w:val="32"/>
          <w:szCs w:val="32"/>
          <w:highlight w:val="none"/>
          <w:u w:val="none" w:color="auto"/>
          <w:lang w:val="en-US" w:eastAsia="zh-CN"/>
        </w:rPr>
        <w:t>坚持</w:t>
      </w:r>
      <w:r>
        <w:rPr>
          <w:rFonts w:hint="eastAsia" w:eastAsia="仿宋_GB2312" w:cs="Times New Roman"/>
          <w:strike w:val="0"/>
          <w:dstrike w:val="0"/>
          <w:color w:val="auto"/>
          <w:spacing w:val="7"/>
          <w:sz w:val="32"/>
          <w:szCs w:val="32"/>
          <w:highlight w:val="none"/>
          <w:u w:val="none" w:color="auto"/>
          <w:lang w:val="en-US" w:eastAsia="zh-CN"/>
        </w:rPr>
        <w:t>“</w:t>
      </w:r>
      <w:r>
        <w:rPr>
          <w:rFonts w:hint="default" w:ascii="Times New Roman" w:hAnsi="Times New Roman" w:eastAsia="仿宋_GB2312" w:cs="Times New Roman"/>
          <w:strike w:val="0"/>
          <w:dstrike w:val="0"/>
          <w:color w:val="auto"/>
          <w:spacing w:val="7"/>
          <w:sz w:val="32"/>
          <w:szCs w:val="32"/>
          <w:highlight w:val="none"/>
          <w:u w:val="none" w:color="auto"/>
          <w:lang w:val="en-US" w:eastAsia="zh-CN"/>
        </w:rPr>
        <w:t>四大办</w:t>
      </w:r>
      <w:r>
        <w:rPr>
          <w:rFonts w:hint="eastAsia" w:eastAsia="仿宋_GB2312" w:cs="Times New Roman"/>
          <w:strike w:val="0"/>
          <w:dstrike w:val="0"/>
          <w:color w:val="auto"/>
          <w:spacing w:val="7"/>
          <w:sz w:val="32"/>
          <w:szCs w:val="32"/>
          <w:highlight w:val="none"/>
          <w:u w:val="none" w:color="auto"/>
          <w:lang w:val="en-US" w:eastAsia="zh-CN"/>
        </w:rPr>
        <w:t>”</w:t>
      </w:r>
      <w:r>
        <w:rPr>
          <w:rFonts w:hint="default" w:ascii="Times New Roman" w:hAnsi="Times New Roman" w:eastAsia="仿宋_GB2312" w:cs="Times New Roman"/>
          <w:strike w:val="0"/>
          <w:dstrike w:val="0"/>
          <w:color w:val="auto"/>
          <w:spacing w:val="7"/>
          <w:sz w:val="32"/>
          <w:szCs w:val="32"/>
          <w:highlight w:val="none"/>
          <w:u w:val="none" w:color="auto"/>
          <w:lang w:val="en-US" w:eastAsia="zh-CN"/>
        </w:rPr>
        <w:t>统筹会商、</w:t>
      </w:r>
      <w:r>
        <w:rPr>
          <w:rFonts w:hint="eastAsia" w:eastAsia="仿宋_GB2312" w:cs="Times New Roman"/>
          <w:strike w:val="0"/>
          <w:dstrike w:val="0"/>
          <w:color w:val="auto"/>
          <w:spacing w:val="7"/>
          <w:sz w:val="32"/>
          <w:szCs w:val="32"/>
          <w:highlight w:val="none"/>
          <w:u w:val="none" w:color="auto"/>
          <w:lang w:val="en-US" w:eastAsia="zh-CN"/>
        </w:rPr>
        <w:t>“</w:t>
      </w:r>
      <w:r>
        <w:rPr>
          <w:rFonts w:hint="default" w:ascii="Times New Roman" w:hAnsi="Times New Roman" w:eastAsia="仿宋_GB2312" w:cs="Times New Roman"/>
          <w:strike w:val="0"/>
          <w:dstrike w:val="0"/>
          <w:color w:val="auto"/>
          <w:spacing w:val="7"/>
          <w:sz w:val="32"/>
          <w:szCs w:val="32"/>
          <w:highlight w:val="none"/>
          <w:u w:val="none" w:color="auto"/>
          <w:lang w:val="en-US" w:eastAsia="zh-CN"/>
        </w:rPr>
        <w:t>指挥部+工作专班</w:t>
      </w:r>
      <w:r>
        <w:rPr>
          <w:rFonts w:hint="eastAsia" w:eastAsia="仿宋_GB2312" w:cs="Times New Roman"/>
          <w:strike w:val="0"/>
          <w:dstrike w:val="0"/>
          <w:color w:val="auto"/>
          <w:spacing w:val="7"/>
          <w:sz w:val="32"/>
          <w:szCs w:val="32"/>
          <w:highlight w:val="none"/>
          <w:u w:val="none" w:color="auto"/>
          <w:lang w:val="en-US" w:eastAsia="zh-CN"/>
        </w:rPr>
        <w:t>”</w:t>
      </w:r>
      <w:r>
        <w:rPr>
          <w:rFonts w:hint="default" w:ascii="Times New Roman" w:hAnsi="Times New Roman" w:eastAsia="仿宋_GB2312" w:cs="Times New Roman"/>
          <w:strike w:val="0"/>
          <w:dstrike w:val="0"/>
          <w:color w:val="auto"/>
          <w:spacing w:val="7"/>
          <w:sz w:val="32"/>
          <w:szCs w:val="32"/>
          <w:highlight w:val="none"/>
          <w:u w:val="none" w:color="auto"/>
          <w:lang w:val="en-US" w:eastAsia="zh-CN"/>
        </w:rPr>
        <w:t>推进、周例会协调解决问题、督查专班督导进度的闭环机制，强化项目全生命周期管理服务。上半年</w:t>
      </w:r>
      <w:r>
        <w:rPr>
          <w:rFonts w:hint="eastAsia" w:ascii="Times New Roman" w:hAnsi="Times New Roman" w:eastAsia="仿宋_GB2312" w:cs="Times New Roman"/>
          <w:strike w:val="0"/>
          <w:dstrike w:val="0"/>
          <w:color w:val="auto"/>
          <w:spacing w:val="7"/>
          <w:sz w:val="32"/>
          <w:szCs w:val="32"/>
          <w:highlight w:val="none"/>
          <w:u w:val="none" w:color="auto"/>
          <w:lang w:val="en-US" w:eastAsia="zh-CN"/>
        </w:rPr>
        <w:t>，</w:t>
      </w:r>
      <w:r>
        <w:rPr>
          <w:rFonts w:hint="default" w:ascii="Times New Roman" w:hAnsi="Times New Roman" w:eastAsia="仿宋_GB2312" w:cs="Times New Roman"/>
          <w:b w:val="0"/>
          <w:bCs w:val="0"/>
          <w:color w:val="auto"/>
          <w:spacing w:val="7"/>
          <w:w w:val="100"/>
          <w:sz w:val="32"/>
          <w:szCs w:val="32"/>
          <w:highlight w:val="none"/>
          <w:u w:val="none" w:color="auto"/>
          <w:lang w:val="en-US" w:eastAsia="zh-CN"/>
        </w:rPr>
        <w:t>15个省市重点项目，累计完成投资56.52亿元，占年度计划投资的68.0%</w:t>
      </w:r>
      <w:r>
        <w:rPr>
          <w:rFonts w:hint="eastAsia" w:eastAsia="仿宋_GB2312" w:cs="Times New Roman"/>
          <w:b w:val="0"/>
          <w:bCs w:val="0"/>
          <w:color w:val="auto"/>
          <w:spacing w:val="7"/>
          <w:w w:val="100"/>
          <w:sz w:val="32"/>
          <w:szCs w:val="32"/>
          <w:highlight w:val="none"/>
          <w:u w:val="none" w:color="auto"/>
          <w:lang w:val="en-US" w:eastAsia="zh-CN"/>
        </w:rPr>
        <w:t>、高于全市7个百分点</w:t>
      </w:r>
      <w:r>
        <w:rPr>
          <w:rFonts w:hint="default" w:ascii="Times New Roman" w:hAnsi="Times New Roman" w:eastAsia="仿宋_GB2312" w:cs="Times New Roman"/>
          <w:b w:val="0"/>
          <w:bCs w:val="0"/>
          <w:color w:val="auto"/>
          <w:spacing w:val="7"/>
          <w:w w:val="100"/>
          <w:sz w:val="32"/>
          <w:szCs w:val="32"/>
          <w:highlight w:val="none"/>
          <w:u w:val="none" w:color="auto"/>
          <w:lang w:val="en-US" w:eastAsia="zh-CN"/>
        </w:rPr>
        <w:t>。23个</w:t>
      </w:r>
      <w:r>
        <w:rPr>
          <w:rFonts w:hint="eastAsia" w:eastAsia="仿宋_GB2312" w:cs="Times New Roman"/>
          <w:b w:val="0"/>
          <w:bCs w:val="0"/>
          <w:color w:val="auto"/>
          <w:spacing w:val="7"/>
          <w:w w:val="100"/>
          <w:sz w:val="32"/>
          <w:szCs w:val="32"/>
          <w:highlight w:val="none"/>
          <w:u w:val="none" w:color="auto"/>
          <w:lang w:val="en-US" w:eastAsia="zh-CN"/>
        </w:rPr>
        <w:t>“</w:t>
      </w:r>
      <w:r>
        <w:rPr>
          <w:rFonts w:hint="default" w:ascii="Times New Roman" w:hAnsi="Times New Roman" w:eastAsia="仿宋_GB2312" w:cs="Times New Roman"/>
          <w:b w:val="0"/>
          <w:bCs w:val="0"/>
          <w:color w:val="auto"/>
          <w:spacing w:val="7"/>
          <w:w w:val="100"/>
          <w:sz w:val="32"/>
          <w:szCs w:val="32"/>
          <w:highlight w:val="none"/>
          <w:u w:val="none" w:color="auto"/>
          <w:lang w:val="en-US" w:eastAsia="zh-CN"/>
        </w:rPr>
        <w:t>三个五百亿</w:t>
      </w:r>
      <w:r>
        <w:rPr>
          <w:rFonts w:hint="eastAsia" w:eastAsia="仿宋_GB2312" w:cs="Times New Roman"/>
          <w:b w:val="0"/>
          <w:bCs w:val="0"/>
          <w:color w:val="auto"/>
          <w:spacing w:val="7"/>
          <w:w w:val="100"/>
          <w:sz w:val="32"/>
          <w:szCs w:val="32"/>
          <w:highlight w:val="none"/>
          <w:u w:val="none" w:color="auto"/>
          <w:lang w:val="en-US" w:eastAsia="zh-CN"/>
        </w:rPr>
        <w:t>”</w:t>
      </w:r>
      <w:r>
        <w:rPr>
          <w:rFonts w:hint="default" w:ascii="Times New Roman" w:hAnsi="Times New Roman" w:eastAsia="仿宋_GB2312" w:cs="Times New Roman"/>
          <w:b w:val="0"/>
          <w:bCs w:val="0"/>
          <w:color w:val="auto"/>
          <w:spacing w:val="7"/>
          <w:w w:val="100"/>
          <w:sz w:val="32"/>
          <w:szCs w:val="32"/>
          <w:highlight w:val="none"/>
          <w:u w:val="none" w:color="auto"/>
          <w:lang w:val="en-US" w:eastAsia="zh-CN"/>
        </w:rPr>
        <w:t>项目，累计完成投资38.7亿元，占年度投资计划的73.0%。</w:t>
      </w:r>
      <w:r>
        <w:rPr>
          <w:rFonts w:hint="eastAsia" w:ascii="新宋体" w:hAnsi="新宋体" w:eastAsia="仿宋_GB2312" w:cs="仿宋_GB2312"/>
          <w:b/>
          <w:bCs/>
          <w:sz w:val="32"/>
          <w:szCs w:val="32"/>
          <w:lang w:val="en-US" w:eastAsia="zh-CN"/>
        </w:rPr>
        <w:t>三是问题楼盘</w:t>
      </w:r>
      <w:r>
        <w:rPr>
          <w:rFonts w:hint="default" w:ascii="新宋体" w:hAnsi="新宋体" w:eastAsia="仿宋_GB2312" w:cs="仿宋_GB2312"/>
          <w:b/>
          <w:bCs/>
          <w:sz w:val="32"/>
          <w:szCs w:val="32"/>
          <w:lang w:val="en-US" w:eastAsia="zh-CN"/>
        </w:rPr>
        <w:t>有序化解</w:t>
      </w:r>
      <w:r>
        <w:rPr>
          <w:rFonts w:hint="eastAsia" w:ascii="新宋体" w:hAnsi="新宋体" w:eastAsia="仿宋_GB2312" w:cs="仿宋_GB2312"/>
          <w:b/>
          <w:bCs/>
          <w:sz w:val="32"/>
          <w:szCs w:val="32"/>
          <w:lang w:val="en-US" w:eastAsia="zh-CN"/>
        </w:rPr>
        <w:t>。</w:t>
      </w:r>
      <w:r>
        <w:rPr>
          <w:rStyle w:val="7"/>
          <w:rFonts w:hint="default" w:ascii="Times New Roman" w:hAnsi="Times New Roman" w:eastAsia="仿宋_GB2312" w:cs="Times New Roman"/>
          <w:b w:val="0"/>
          <w:bCs w:val="0"/>
          <w:i w:val="0"/>
          <w:caps w:val="0"/>
          <w:color w:val="auto"/>
          <w:spacing w:val="7"/>
          <w:w w:val="100"/>
          <w:kern w:val="0"/>
          <w:sz w:val="32"/>
          <w:szCs w:val="32"/>
          <w:lang w:val="en-US" w:eastAsia="zh-CN" w:bidi="ar"/>
        </w:rPr>
        <w:t>持续推进保交楼工作，</w:t>
      </w:r>
      <w:r>
        <w:rPr>
          <w:rStyle w:val="7"/>
          <w:rFonts w:hint="eastAsia" w:eastAsia="仿宋_GB2312" w:cs="Times New Roman"/>
          <w:b w:val="0"/>
          <w:bCs w:val="0"/>
          <w:i w:val="0"/>
          <w:caps w:val="0"/>
          <w:color w:val="auto"/>
          <w:spacing w:val="7"/>
          <w:w w:val="100"/>
          <w:kern w:val="0"/>
          <w:sz w:val="32"/>
          <w:szCs w:val="32"/>
          <w:lang w:val="en-US" w:eastAsia="zh-CN" w:bidi="ar"/>
        </w:rPr>
        <w:t>妥善化解37个问题楼盘</w:t>
      </w:r>
      <w:r>
        <w:rPr>
          <w:rStyle w:val="7"/>
          <w:rFonts w:hint="default" w:ascii="Times New Roman" w:hAnsi="Times New Roman" w:eastAsia="仿宋_GB2312" w:cs="Times New Roman"/>
          <w:b w:val="0"/>
          <w:bCs w:val="0"/>
          <w:i w:val="0"/>
          <w:caps w:val="0"/>
          <w:color w:val="auto"/>
          <w:spacing w:val="7"/>
          <w:w w:val="100"/>
          <w:kern w:val="0"/>
          <w:sz w:val="32"/>
          <w:szCs w:val="32"/>
          <w:lang w:val="en-US" w:eastAsia="zh-CN" w:bidi="ar"/>
        </w:rPr>
        <w:t>，</w:t>
      </w:r>
      <w:r>
        <w:rPr>
          <w:rStyle w:val="7"/>
          <w:rFonts w:hint="eastAsia" w:eastAsia="仿宋_GB2312" w:cs="Times New Roman"/>
          <w:b w:val="0"/>
          <w:bCs w:val="0"/>
          <w:i w:val="0"/>
          <w:caps w:val="0"/>
          <w:color w:val="auto"/>
          <w:spacing w:val="7"/>
          <w:w w:val="100"/>
          <w:kern w:val="0"/>
          <w:sz w:val="32"/>
          <w:szCs w:val="32"/>
          <w:lang w:val="en-US" w:eastAsia="zh-CN" w:bidi="ar"/>
        </w:rPr>
        <w:t>2.2万户群众达到不动产登记办理条件，跨度10年的挂刀营、锦城国际问题楼盘实现分房</w:t>
      </w:r>
      <w:r>
        <w:rPr>
          <w:rFonts w:hint="eastAsia" w:ascii="新宋体" w:hAnsi="新宋体" w:eastAsia="仿宋_GB2312" w:cs="仿宋_GB2312"/>
          <w:b w:val="0"/>
          <w:bCs w:val="0"/>
          <w:color w:val="000000"/>
          <w:kern w:val="2"/>
          <w:sz w:val="32"/>
          <w:szCs w:val="32"/>
          <w:lang w:val="en-US" w:eastAsia="zh-CN" w:bidi="ar-SA"/>
        </w:rPr>
        <w:t>。</w:t>
      </w:r>
    </w:p>
    <w:p w14:paraId="42D08FA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200" w:firstLine="320" w:firstLineChars="100"/>
        <w:jc w:val="both"/>
        <w:textAlignment w:val="auto"/>
        <w:rPr>
          <w:rFonts w:hint="eastAsia" w:ascii="新宋体" w:hAnsi="新宋体" w:eastAsia="黑体" w:cs="黑体"/>
          <w:sz w:val="32"/>
          <w:szCs w:val="32"/>
          <w:lang w:val="en-US" w:eastAsia="zh-CN"/>
        </w:rPr>
      </w:pPr>
      <w:r>
        <w:rPr>
          <w:rFonts w:hint="eastAsia" w:ascii="新宋体" w:hAnsi="新宋体" w:eastAsia="黑体" w:cs="黑体"/>
          <w:sz w:val="32"/>
          <w:szCs w:val="32"/>
          <w:lang w:val="en-US" w:eastAsia="zh-CN"/>
        </w:rPr>
        <w:t>三、评估结论及意见建议</w:t>
      </w:r>
    </w:p>
    <w:p w14:paraId="23378EA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新宋体" w:hAnsi="新宋体" w:eastAsia="仿宋_GB2312" w:cs="仿宋_GB2312"/>
          <w:kern w:val="2"/>
          <w:sz w:val="32"/>
          <w:szCs w:val="32"/>
          <w:lang w:val="en-US" w:eastAsia="zh-CN" w:bidi="ar-SA"/>
        </w:rPr>
      </w:pPr>
      <w:r>
        <w:rPr>
          <w:rFonts w:hint="eastAsia" w:ascii="新宋体" w:hAnsi="新宋体" w:eastAsia="仿宋_GB2312" w:cs="仿宋_GB2312"/>
          <w:sz w:val="32"/>
          <w:szCs w:val="32"/>
          <w:lang w:val="en-US" w:eastAsia="zh-CN"/>
        </w:rPr>
        <w:t>在相关部门积极配合下，此次规范性文件评估取得了一定效果，圆满完成上半年经济目标各项任务，在后续使用中加强文件保密。建议继续执行。</w:t>
      </w:r>
      <w:bookmarkStart w:id="0" w:name="_GoBack"/>
      <w:bookmarkEnd w:id="0"/>
    </w:p>
    <w:p w14:paraId="2D6D5C57">
      <w:pPr>
        <w:pStyle w:val="2"/>
        <w:ind w:firstLine="5760" w:firstLineChars="1800"/>
        <w:rPr>
          <w:rFonts w:hint="eastAsia" w:ascii="新宋体" w:hAnsi="新宋体" w:eastAsia="仿宋_GB2312" w:cs="仿宋_GB2312"/>
          <w:kern w:val="2"/>
          <w:sz w:val="32"/>
          <w:szCs w:val="32"/>
          <w:lang w:val="en-US" w:eastAsia="zh-CN" w:bidi="ar-SA"/>
        </w:rPr>
      </w:pPr>
      <w:r>
        <w:rPr>
          <w:rFonts w:hint="eastAsia" w:ascii="新宋体" w:hAnsi="新宋体" w:eastAsia="仿宋_GB2312" w:cs="仿宋_GB2312"/>
          <w:kern w:val="2"/>
          <w:sz w:val="32"/>
          <w:szCs w:val="32"/>
          <w:lang w:val="en-US" w:eastAsia="zh-CN" w:bidi="ar-SA"/>
        </w:rPr>
        <w:t>2024年7月20日</w:t>
      </w:r>
    </w:p>
    <w:p w14:paraId="68B18A26"/>
    <w:p w14:paraId="1CB058E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B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qFormat/>
    <w:uiPriority w:val="99"/>
    <w:pPr>
      <w:spacing w:before="100" w:beforeAutospacing="1"/>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NormalCharacter"/>
    <w:qFormat/>
    <w:uiPriority w:val="0"/>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2025-07-08T02:23:49Z</dcterms:created>
  <dc:creator>13507</dc:creator>
  <cp:lastModifiedBy>鹿为马</cp:lastModifiedBy>
  <dcterms:modified xsi:type="dcterms:W3CDTF">2025-07-08T02:24:10Z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eyJoZGlkIjoiZGY4ZGYwZjg0ZTYyYWM4MGViYjkyNzNmZWMzNWVhMTciLCJ1c2VySWQiOiIyMDMwNDg4NDQifQ==</vt:lpwstr>
  </property>
  <property fmtid="{D5CDD505-2E9C-101B-9397-08002B2CF9AE}" pid="4" name="ICV">
    <vt:lpwstr>1032FD225C2A49FEBD66285A851EBACA_12</vt:lpwstr>
  </property>
</Properties>
</file>